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E5" w:rsidRDefault="002D28E5" w:rsidP="002D28E5">
      <w:pPr>
        <w:rPr>
          <w:sz w:val="36"/>
        </w:rPr>
      </w:pPr>
    </w:p>
    <w:p w:rsidR="002D28E5" w:rsidRDefault="002D28E5" w:rsidP="002D28E5">
      <w:pPr>
        <w:jc w:val="center"/>
        <w:rPr>
          <w:b/>
          <w:sz w:val="36"/>
        </w:rPr>
      </w:pPr>
      <w:r>
        <w:rPr>
          <w:b/>
          <w:sz w:val="36"/>
        </w:rPr>
        <w:t xml:space="preserve">Risikobewertung </w:t>
      </w:r>
    </w:p>
    <w:p w:rsidR="002D28E5" w:rsidRDefault="002D28E5" w:rsidP="002D28E5">
      <w:pPr>
        <w:spacing w:after="120"/>
        <w:jc w:val="center"/>
        <w:rPr>
          <w:sz w:val="24"/>
        </w:rPr>
      </w:pPr>
      <w:r>
        <w:rPr>
          <w:sz w:val="24"/>
        </w:rPr>
        <w:t>Die Risikofaktoren ergeben sich aus der Wahrscheinlichkeit des Schadens und der Schwere der möglichen Folgen.</w:t>
      </w:r>
    </w:p>
    <w:p w:rsidR="002D28E5" w:rsidRDefault="002D28E5" w:rsidP="002D28E5">
      <w:pPr>
        <w:rPr>
          <w:sz w:val="36"/>
        </w:rPr>
      </w:pPr>
    </w:p>
    <w:p w:rsidR="002D28E5" w:rsidRDefault="002D28E5" w:rsidP="002D28E5">
      <w:pPr>
        <w:rPr>
          <w:sz w:val="36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3" w:firstRow="1" w:lastRow="0" w:firstColumn="1" w:lastColumn="0" w:noHBand="0" w:noVBand="0"/>
      </w:tblPr>
      <w:tblGrid>
        <w:gridCol w:w="1629"/>
        <w:gridCol w:w="1629"/>
        <w:gridCol w:w="1629"/>
        <w:gridCol w:w="1629"/>
        <w:gridCol w:w="1629"/>
        <w:gridCol w:w="1629"/>
      </w:tblGrid>
      <w:tr w:rsidR="002D28E5" w:rsidTr="002D28E5">
        <w:trPr>
          <w:cantSplit/>
          <w:trHeight w:val="1701"/>
          <w:jc w:val="center"/>
        </w:trPr>
        <w:tc>
          <w:tcPr>
            <w:tcW w:w="1629" w:type="dxa"/>
            <w:tcBorders>
              <w:top w:val="single" w:sz="12" w:space="0" w:color="auto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2D28E5" w:rsidRDefault="002D28E5">
            <w:pPr>
              <w:spacing w:before="840"/>
              <w:ind w:right="113"/>
              <w:jc w:val="right"/>
              <w:rPr>
                <w:b/>
                <w:i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72C83F" wp14:editId="6936E9CE">
                      <wp:simplePos x="0" y="0"/>
                      <wp:positionH relativeFrom="margin">
                        <wp:posOffset>-66040</wp:posOffset>
                      </wp:positionH>
                      <wp:positionV relativeFrom="margin">
                        <wp:posOffset>5715</wp:posOffset>
                      </wp:positionV>
                      <wp:extent cx="1028700" cy="1792605"/>
                      <wp:effectExtent l="0" t="24765" r="0" b="3048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20000">
                                <a:off x="0" y="0"/>
                                <a:ext cx="1028700" cy="17926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9DC01" id="Line 2" o:spid="_x0000_s1026" style="position:absolute;rotation:2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5.2pt,.45pt" to="75.8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x2AMwIAAHMEAAAOAAAAZHJzL2Uyb0RvYy54bWysVMuO2jAU3VfqP1jeQx4NDESEUZVAN7RF&#10;mukHGNshVh3bsg0BVf33XhuGKe2iVVUWxo/j43PvPTeLx1Mv0ZFbJ7SqcDZOMeKKaibUvsJfntej&#10;GUbOE8WI1IpX+Mwdfly+fbMYTMlz3WnJuEVAolw5mAp33psySRzteE/cWBuu4LDVticelnafMEsG&#10;YO9lkqfpNBm0ZcZqyp2D3eZyiJeRv2059Z/b1nGPZIVBm4+jjeMujMlyQcq9JaYT9CqD/IOKnggF&#10;j96oGuIJOljxG1UvqNVOt35MdZ/othWUxxggmiz9JZqnjhgeY4HkOHNLk/t/tPTTcWuRYFA7jBTp&#10;oUQboTjKQ2YG40oA1GprQ2z0pJ7MRtOvDildd0TteVT4fDZwLQs3krsrYeEM8O+Gj5oBhhy8jmk6&#10;tbZHVkM5MqhimsZNyAY6xdKcb6XhJ48obGZpPnsAHKJwlj3M82k6iQ+SMnAFecY6/4HrHoVJhSWE&#10;EWnJceN80PYKCXCl10LKWH+p0FDh+SSfxAtOS8HCYYA5u9/V0qIjCQ6Kv+u7dzCrD4pFso4TtlIM&#10;+ZgVBa7Hgd31GEkOPQKTiPNEyD/jQLRUQQckAsK4zi7W+jZP56vZalaMiny6GhVp04zer+tiNF1n&#10;D5PmXVPXTfY9hJQVZScY4ypE9WLzrPg7G10b7mLQm9Fv6Uvu2WOeQezLfxQdbRGccPHUTrPz1oaS&#10;BIeAsyP42oWhdX5eR9Trt2L5AwAA//8DAFBLAwQUAAYACAAAACEAGWS5L98AAAAIAQAADwAAAGRy&#10;cy9kb3ducmV2LnhtbEyPQUvDQBSE74L/YXmCt3aTaEuNeSkqiHgQbSqCt032mQR334bsNo3/3u1J&#10;j8MMM98U29kaMdHoe8cI6TIBQdw43XOL8L5/XGxA+KBYK+OYEH7Iw7Y8PytUrt2RdzRVoRWxhH2u&#10;ELoQhlxK33RklV+6gTh6X260KkQ5tlKP6hjLrZFZkqylVT3HhU4N9NBR810dLMLr2/3nS/8h9xSa&#10;56d5ZardVFeIlxfz3S2IQHP4C8MJP6JDGZlqd2DthUFYpMl1jCLcgDjZq3QNokbINlcZyLKQ/w+U&#10;vwAAAP//AwBQSwECLQAUAAYACAAAACEAtoM4kv4AAADhAQAAEwAAAAAAAAAAAAAAAAAAAAAAW0Nv&#10;bnRlbnRfVHlwZXNdLnhtbFBLAQItABQABgAIAAAAIQA4/SH/1gAAAJQBAAALAAAAAAAAAAAAAAAA&#10;AC8BAABfcmVscy8ucmVsc1BLAQItABQABgAIAAAAIQA89x2AMwIAAHMEAAAOAAAAAAAAAAAAAAAA&#10;AC4CAABkcnMvZTJvRG9jLnhtbFBLAQItABQABgAIAAAAIQAZZLkv3wAAAAgBAAAPAAAAAAAAAAAA&#10;AAAAAI0EAABkcnMvZG93bnJldi54bWxQSwUGAAAAAAQABADzAAAAmQUAAAAA&#10;">
                      <v:stroke startarrowwidth="narrow" startarrowlength="short" endarrowwidth="narrow" endarrowlength="short"/>
                      <w10:wrap anchorx="margin" anchory="margin"/>
                    </v:line>
                  </w:pict>
                </mc:Fallback>
              </mc:AlternateContent>
            </w:r>
            <w:r>
              <w:rPr>
                <w:b/>
                <w:i/>
                <w:sz w:val="24"/>
              </w:rPr>
              <w:t>Folgen</w:t>
            </w:r>
          </w:p>
        </w:tc>
        <w:tc>
          <w:tcPr>
            <w:tcW w:w="8145" w:type="dxa"/>
            <w:gridSpan w:val="5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2D28E5" w:rsidRDefault="002D28E5">
            <w:pPr>
              <w:spacing w:before="240"/>
              <w:ind w:left="113" w:right="113"/>
              <w:jc w:val="center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Gesundheitsrisiken</w:t>
            </w:r>
          </w:p>
        </w:tc>
      </w:tr>
      <w:tr w:rsidR="002D28E5" w:rsidTr="002D28E5">
        <w:trPr>
          <w:cantSplit/>
          <w:trHeight w:val="600"/>
          <w:jc w:val="center"/>
        </w:trPr>
        <w:tc>
          <w:tcPr>
            <w:tcW w:w="1629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2D28E5" w:rsidRDefault="002D28E5">
            <w:pPr>
              <w:ind w:right="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Wahr</w:t>
            </w:r>
            <w:r>
              <w:rPr>
                <w:b/>
                <w:i/>
                <w:sz w:val="24"/>
              </w:rPr>
              <w:softHyphen/>
              <w:t>schein-</w:t>
            </w:r>
            <w:r>
              <w:rPr>
                <w:b/>
                <w:i/>
                <w:sz w:val="24"/>
              </w:rPr>
              <w:softHyphen/>
            </w:r>
          </w:p>
        </w:tc>
        <w:tc>
          <w:tcPr>
            <w:tcW w:w="16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28E5" w:rsidRDefault="002D28E5">
            <w:pPr>
              <w:ind w:left="113" w:right="1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keine</w:t>
            </w:r>
          </w:p>
        </w:tc>
        <w:tc>
          <w:tcPr>
            <w:tcW w:w="325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D28E5" w:rsidRDefault="002D28E5">
            <w:pPr>
              <w:ind w:left="113" w:right="1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reversibel</w:t>
            </w:r>
          </w:p>
        </w:tc>
        <w:tc>
          <w:tcPr>
            <w:tcW w:w="325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28E5" w:rsidRDefault="002D28E5">
            <w:pPr>
              <w:ind w:left="113" w:right="1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irreversibel</w:t>
            </w:r>
          </w:p>
        </w:tc>
      </w:tr>
      <w:tr w:rsidR="002D28E5" w:rsidTr="002D28E5">
        <w:trPr>
          <w:cantSplit/>
          <w:trHeight w:val="600"/>
          <w:jc w:val="center"/>
        </w:trPr>
        <w:tc>
          <w:tcPr>
            <w:tcW w:w="1629" w:type="dxa"/>
            <w:tcBorders>
              <w:top w:val="nil"/>
              <w:left w:val="single" w:sz="12" w:space="0" w:color="000000"/>
              <w:bottom w:val="nil"/>
              <w:right w:val="nil"/>
            </w:tcBorders>
            <w:hideMark/>
          </w:tcPr>
          <w:p w:rsidR="002D28E5" w:rsidRDefault="002D28E5">
            <w:pPr>
              <w:ind w:right="113"/>
            </w:pPr>
            <w:proofErr w:type="spellStart"/>
            <w:r>
              <w:rPr>
                <w:b/>
                <w:i/>
                <w:sz w:val="24"/>
              </w:rPr>
              <w:t>lichkeit</w:t>
            </w:r>
            <w:proofErr w:type="spellEnd"/>
          </w:p>
        </w:tc>
        <w:tc>
          <w:tcPr>
            <w:tcW w:w="1629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hideMark/>
          </w:tcPr>
          <w:p w:rsidR="002D28E5" w:rsidRDefault="002D28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keine Folgen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12" w:space="0" w:color="auto"/>
              <w:right w:val="single" w:sz="6" w:space="0" w:color="000000"/>
            </w:tcBorders>
            <w:hideMark/>
          </w:tcPr>
          <w:p w:rsidR="002D28E5" w:rsidRDefault="002D28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Bagatellfolgen</w:t>
            </w:r>
          </w:p>
        </w:tc>
        <w:tc>
          <w:tcPr>
            <w:tcW w:w="1629" w:type="dxa"/>
            <w:tcBorders>
              <w:top w:val="nil"/>
              <w:left w:val="single" w:sz="6" w:space="0" w:color="000000"/>
              <w:bottom w:val="single" w:sz="12" w:space="0" w:color="auto"/>
              <w:right w:val="nil"/>
            </w:tcBorders>
            <w:hideMark/>
          </w:tcPr>
          <w:p w:rsidR="002D28E5" w:rsidRDefault="002D28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Verletzungs-/</w:t>
            </w:r>
            <w:r>
              <w:rPr>
                <w:sz w:val="16"/>
              </w:rPr>
              <w:br/>
              <w:t>Erkrankungs-</w:t>
            </w:r>
            <w:r>
              <w:rPr>
                <w:sz w:val="16"/>
              </w:rPr>
              <w:br/>
              <w:t>folgen</w:t>
            </w:r>
          </w:p>
        </w:tc>
        <w:tc>
          <w:tcPr>
            <w:tcW w:w="1629" w:type="dxa"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  <w:hideMark/>
          </w:tcPr>
          <w:p w:rsidR="002D28E5" w:rsidRDefault="002D28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leichter bleibender Gesundheits</w:t>
            </w:r>
            <w:r>
              <w:rPr>
                <w:sz w:val="16"/>
              </w:rPr>
              <w:softHyphen/>
              <w:t>schaden</w:t>
            </w:r>
          </w:p>
        </w:tc>
        <w:tc>
          <w:tcPr>
            <w:tcW w:w="1629" w:type="dxa"/>
            <w:tcBorders>
              <w:top w:val="nil"/>
              <w:left w:val="single" w:sz="6" w:space="0" w:color="000000"/>
              <w:bottom w:val="nil"/>
              <w:right w:val="single" w:sz="12" w:space="0" w:color="auto"/>
            </w:tcBorders>
            <w:hideMark/>
          </w:tcPr>
          <w:p w:rsidR="002D28E5" w:rsidRDefault="002D28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schwerer bleibender Gesundheits</w:t>
            </w:r>
            <w:r>
              <w:rPr>
                <w:sz w:val="16"/>
              </w:rPr>
              <w:softHyphen/>
              <w:t>schaden, Tod</w:t>
            </w:r>
          </w:p>
        </w:tc>
      </w:tr>
      <w:tr w:rsidR="002D28E5" w:rsidTr="002D28E5">
        <w:trPr>
          <w:cantSplit/>
          <w:trHeight w:val="600"/>
          <w:jc w:val="center"/>
        </w:trPr>
        <w:tc>
          <w:tcPr>
            <w:tcW w:w="1629" w:type="dxa"/>
            <w:tcBorders>
              <w:top w:val="single" w:sz="12" w:space="0" w:color="auto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D28E5" w:rsidRDefault="002D28E5">
            <w:pPr>
              <w:ind w:left="113" w:right="113"/>
            </w:pPr>
            <w:r>
              <w:t>nicht vorstellbar</w:t>
            </w:r>
          </w:p>
        </w:tc>
        <w:tc>
          <w:tcPr>
            <w:tcW w:w="1629" w:type="dxa"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9" w:type="dxa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D28E5" w:rsidTr="002D28E5">
        <w:trPr>
          <w:cantSplit/>
          <w:trHeight w:val="600"/>
          <w:jc w:val="center"/>
        </w:trPr>
        <w:tc>
          <w:tcPr>
            <w:tcW w:w="1629" w:type="dxa"/>
            <w:tcBorders>
              <w:top w:val="single" w:sz="6" w:space="0" w:color="auto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2D28E5" w:rsidRDefault="002D28E5">
            <w:pPr>
              <w:ind w:left="113" w:right="113"/>
            </w:pPr>
            <w:r>
              <w:t>äußerst gering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9" w:type="dxa"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2D28E5" w:rsidTr="002D28E5">
        <w:trPr>
          <w:cantSplit/>
          <w:trHeight w:val="600"/>
          <w:jc w:val="center"/>
        </w:trPr>
        <w:tc>
          <w:tcPr>
            <w:tcW w:w="1629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nil"/>
            </w:tcBorders>
            <w:vAlign w:val="center"/>
            <w:hideMark/>
          </w:tcPr>
          <w:p w:rsidR="002D28E5" w:rsidRDefault="002D28E5">
            <w:pPr>
              <w:ind w:left="113" w:right="113"/>
            </w:pPr>
            <w:r>
              <w:t>vorstellbar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29" w:type="dxa"/>
            <w:tcBorders>
              <w:top w:val="nil"/>
              <w:left w:val="single" w:sz="12" w:space="0" w:color="auto"/>
              <w:bottom w:val="single" w:sz="6" w:space="0" w:color="000000"/>
              <w:right w:val="nil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29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2D28E5" w:rsidTr="002D28E5">
        <w:trPr>
          <w:cantSplit/>
          <w:trHeight w:val="600"/>
          <w:jc w:val="center"/>
        </w:trPr>
        <w:tc>
          <w:tcPr>
            <w:tcW w:w="162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2D28E5" w:rsidRDefault="002D28E5">
            <w:pPr>
              <w:ind w:left="113" w:right="113"/>
            </w:pPr>
            <w:r>
              <w:t>sehr hoch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629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29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D28E5" w:rsidRDefault="002D28E5">
            <w:pPr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</w:tbl>
    <w:p w:rsidR="002D28E5" w:rsidRDefault="002D28E5" w:rsidP="002D28E5">
      <w:pPr>
        <w:ind w:left="200" w:right="200"/>
      </w:pPr>
    </w:p>
    <w:p w:rsidR="002D28E5" w:rsidRDefault="002D28E5" w:rsidP="002D28E5">
      <w:pPr>
        <w:jc w:val="center"/>
        <w:rPr>
          <w:sz w:val="16"/>
        </w:rPr>
      </w:pPr>
      <w:r>
        <w:rPr>
          <w:sz w:val="16"/>
        </w:rPr>
        <w:t xml:space="preserve">nach: J. Nohl, H, </w:t>
      </w:r>
      <w:proofErr w:type="spellStart"/>
      <w:r>
        <w:rPr>
          <w:sz w:val="16"/>
        </w:rPr>
        <w:t>Thiemecke</w:t>
      </w:r>
      <w:proofErr w:type="spellEnd"/>
      <w:r>
        <w:rPr>
          <w:sz w:val="16"/>
        </w:rPr>
        <w:t>: Systematik zur Durchführung von Gefährdungsanalysen, Verlag für neue Wissenschaft GmbH, 1988</w:t>
      </w:r>
    </w:p>
    <w:p w:rsidR="00904343" w:rsidRDefault="00904343">
      <w:bookmarkStart w:id="0" w:name="_GoBack"/>
      <w:bookmarkEnd w:id="0"/>
    </w:p>
    <w:sectPr w:rsidR="00904343" w:rsidSect="002D28E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E5"/>
    <w:rsid w:val="002D28E5"/>
    <w:rsid w:val="0090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2A100-06CA-42D4-A1A2-BC713AAE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8E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D815BB7A.dotm</Template>
  <TotalTime>0</TotalTime>
  <Pages>1</Pages>
  <Words>80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Dresing, Nils (NLSchB)</dc:creator>
  <cp:keywords/>
  <dc:description/>
  <cp:lastModifiedBy>Dresing, Nils (NLSchB)</cp:lastModifiedBy>
  <cp:revision>1</cp:revision>
  <dcterms:created xsi:type="dcterms:W3CDTF">2016-10-11T10:50:00Z</dcterms:created>
  <dcterms:modified xsi:type="dcterms:W3CDTF">2016-10-11T10:51:00Z</dcterms:modified>
</cp:coreProperties>
</file>