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85" w:rsidRPr="00680385" w:rsidRDefault="00680385" w:rsidP="00680385">
      <w:pPr>
        <w:pStyle w:val="berschrift2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/>
        </w:rPr>
      </w:pPr>
      <w:bookmarkStart w:id="0" w:name="_Toc17083682"/>
      <w:r w:rsidRPr="00680385">
        <w:rPr>
          <w:rFonts w:ascii="Arial" w:hAnsi="Arial"/>
        </w:rPr>
        <w:t>Sicherheitskennzeichen</w:t>
      </w:r>
      <w:bookmarkEnd w:id="0"/>
      <w:r w:rsidRPr="00680385">
        <w:rPr>
          <w:rFonts w:ascii="Arial" w:hAnsi="Arial"/>
        </w:rPr>
        <w:fldChar w:fldCharType="begin"/>
      </w:r>
      <w:r w:rsidRPr="00680385">
        <w:rPr>
          <w:rFonts w:ascii="Arial" w:hAnsi="Arial"/>
        </w:rPr>
        <w:instrText xml:space="preserve"> XE "Sicherheitskennzeichen" </w:instrText>
      </w:r>
      <w:r w:rsidRPr="00680385">
        <w:rPr>
          <w:rFonts w:ascii="Arial" w:hAnsi="Arial"/>
        </w:rPr>
        <w:fldChar w:fldCharType="end"/>
      </w:r>
    </w:p>
    <w:p w:rsidR="00680385" w:rsidRPr="00680385" w:rsidRDefault="00680385" w:rsidP="00680385">
      <w:pPr>
        <w:tabs>
          <w:tab w:val="left" w:pos="567"/>
        </w:tabs>
        <w:rPr>
          <w:rFonts w:ascii="Arial" w:hAnsi="Arial"/>
          <w:sz w:val="8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55"/>
        <w:gridCol w:w="855"/>
        <w:gridCol w:w="5834"/>
      </w:tblGrid>
      <w:tr w:rsidR="00680385" w:rsidRPr="00680385" w:rsidTr="00680385">
        <w:trPr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pStyle w:val="Kopfzeile"/>
              <w:pBdr>
                <w:bottom w:val="none" w:sz="0" w:space="0" w:color="auto"/>
              </w:pBdr>
              <w:tabs>
                <w:tab w:val="left" w:pos="708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Symbol</w:t>
            </w:r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Hinweise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80385" w:rsidRPr="00680385" w:rsidRDefault="00680385">
            <w:pPr>
              <w:spacing w:before="120"/>
              <w:jc w:val="center"/>
              <w:rPr>
                <w:rFonts w:ascii="Arial" w:hAnsi="Arial"/>
                <w:sz w:val="16"/>
              </w:rPr>
            </w:pPr>
            <w:r w:rsidRPr="00680385">
              <w:rPr>
                <w:rFonts w:ascii="Arial" w:hAnsi="Arial"/>
                <w:sz w:val="16"/>
              </w:rPr>
              <w:t>Reizend</w:t>
            </w:r>
          </w:p>
          <w:p w:rsidR="00680385" w:rsidRPr="00680385" w:rsidRDefault="00680385">
            <w:pPr>
              <w:pStyle w:val="stanabs"/>
              <w:jc w:val="center"/>
              <w:rPr>
                <w:rFonts w:ascii="Arial" w:hAnsi="Arial"/>
              </w:rPr>
            </w:pPr>
            <w:proofErr w:type="spellStart"/>
            <w:r w:rsidRPr="00680385">
              <w:rPr>
                <w:rFonts w:ascii="Arial" w:hAnsi="Arial"/>
                <w:b/>
                <w:sz w:val="24"/>
              </w:rPr>
              <w:t>Xi</w:t>
            </w:r>
            <w:proofErr w:type="spellEnd"/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Beispiel für Kennzeichnung nach Gefahrstoffverordnung</w:t>
            </w:r>
            <w:r w:rsidRPr="00680385">
              <w:rPr>
                <w:rStyle w:val="Funotenzeichen"/>
                <w:rFonts w:ascii="Arial" w:hAnsi="Arial"/>
                <w:b/>
              </w:rPr>
              <w:footnoteReference w:id="1"/>
            </w:r>
          </w:p>
          <w:p w:rsidR="00680385" w:rsidRPr="00680385" w:rsidRDefault="00680385">
            <w:pPr>
              <w:pStyle w:val="stanabs"/>
              <w:jc w:val="left"/>
              <w:rPr>
                <w:rFonts w:ascii="Arial" w:hAnsi="Arial"/>
              </w:rPr>
            </w:pPr>
            <w:r w:rsidRPr="00680385">
              <w:rPr>
                <w:rFonts w:ascii="Arial" w:hAnsi="Arial"/>
              </w:rPr>
              <w:t>z.B. Salzsäure (Massenanteil w &lt; 25 %)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Eine vollständige Liste der Gefahrensymbole und </w:t>
            </w:r>
            <w:proofErr w:type="spellStart"/>
            <w:r w:rsidRPr="00680385">
              <w:rPr>
                <w:rFonts w:ascii="Arial" w:hAnsi="Arial"/>
                <w:sz w:val="18"/>
              </w:rPr>
              <w:t>Gefahrenbe</w:t>
            </w:r>
            <w:proofErr w:type="spellEnd"/>
            <w:r>
              <w:rPr>
                <w:rFonts w:ascii="Arial" w:hAnsi="Arial"/>
                <w:sz w:val="18"/>
              </w:rPr>
              <w:t>-</w:t>
            </w:r>
            <w:r w:rsidRPr="00680385">
              <w:rPr>
                <w:rFonts w:ascii="Arial" w:hAnsi="Arial"/>
                <w:sz w:val="18"/>
              </w:rPr>
              <w:t xml:space="preserve">zeichnungen nach der Gefahrstoffverordnung ist mit den Hinweisen auf die besonderen Gefahren („R-Sätze“) und den Sicherheitsratschlägen („S-Sätze“) in </w:t>
            </w:r>
          </w:p>
          <w:p w:rsidR="00680385" w:rsidRPr="00680385" w:rsidRDefault="00680385">
            <w:pPr>
              <w:pStyle w:val="stanabs"/>
              <w:spacing w:before="0" w:after="120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Ziffer III</w:t>
            </w:r>
            <w:r w:rsidRPr="00680385">
              <w:rPr>
                <w:rFonts w:ascii="Arial" w:hAnsi="Arial"/>
              </w:rPr>
              <w:t xml:space="preserve"> – </w:t>
            </w:r>
            <w:r w:rsidRPr="00680385">
              <w:rPr>
                <w:rFonts w:ascii="Arial" w:hAnsi="Arial"/>
                <w:sz w:val="18"/>
              </w:rPr>
              <w:t xml:space="preserve">14.2 und III </w:t>
            </w:r>
            <w:r w:rsidRPr="00680385">
              <w:rPr>
                <w:rFonts w:ascii="Arial" w:hAnsi="Arial"/>
              </w:rPr>
              <w:t xml:space="preserve">– </w:t>
            </w:r>
            <w:r w:rsidRPr="00680385">
              <w:rPr>
                <w:rFonts w:ascii="Arial" w:hAnsi="Arial"/>
                <w:sz w:val="18"/>
              </w:rPr>
              <w:t>14.3 enthalten.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left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800225" cy="115252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385" w:rsidRPr="00680385" w:rsidRDefault="00680385">
            <w:pPr>
              <w:jc w:val="center"/>
              <w:rPr>
                <w:rFonts w:ascii="Arial" w:hAnsi="Arial"/>
                <w:sz w:val="16"/>
              </w:rPr>
            </w:pPr>
            <w:r w:rsidRPr="00680385">
              <w:rPr>
                <w:rFonts w:ascii="Arial" w:hAnsi="Arial"/>
                <w:sz w:val="16"/>
              </w:rPr>
              <w:t>CE-Zeichen, hier mit Hilfsraster</w:t>
            </w:r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 xml:space="preserve">Gesetzlich vorgeschriebenes Konformitätszeichen CE </w:t>
            </w:r>
            <w:r w:rsidRPr="00680385">
              <w:rPr>
                <w:rFonts w:ascii="Arial" w:hAnsi="Arial"/>
                <w:b/>
              </w:rPr>
              <w:br/>
              <w:t xml:space="preserve">= </w:t>
            </w:r>
            <w:proofErr w:type="spellStart"/>
            <w:r w:rsidRPr="00680385">
              <w:rPr>
                <w:rFonts w:ascii="Arial" w:hAnsi="Arial"/>
                <w:b/>
              </w:rPr>
              <w:t>Communauté</w:t>
            </w:r>
            <w:proofErr w:type="spellEnd"/>
            <w:r w:rsidRPr="00680385">
              <w:rPr>
                <w:rFonts w:ascii="Arial" w:hAnsi="Arial"/>
                <w:b/>
              </w:rPr>
              <w:t xml:space="preserve"> </w:t>
            </w:r>
            <w:proofErr w:type="spellStart"/>
            <w:r w:rsidRPr="00680385">
              <w:rPr>
                <w:rFonts w:ascii="Arial" w:hAnsi="Arial"/>
                <w:b/>
              </w:rPr>
              <w:t>Européenne</w:t>
            </w:r>
            <w:proofErr w:type="spellEnd"/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Eine CE-Kennzeichnung tragen Produkte, die einer oder mehreren EG-Richtlinien unterliegen, sofern die CE-Kennzeichnung der Produkte vorgesehen ist. </w:t>
            </w:r>
          </w:p>
          <w:p w:rsidR="00680385" w:rsidRPr="00680385" w:rsidRDefault="00680385">
            <w:pPr>
              <w:pStyle w:val="stanabs"/>
              <w:spacing w:before="0" w:after="120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Entsprechende Richtlinien bestehen z.B. für Bauprodukte, Maschinen, persönliche Schutzausrüstung und für die Sicherheit von Spielzeug. Es werden u.a. chemische und physikalische Merkmale, mechanische Eigenschaften, Handhabung und Gebrauch untersucht.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1114425" cy="1190625"/>
                  <wp:effectExtent l="0" t="0" r="9525" b="9525"/>
                  <wp:docPr id="13" name="Grafik 13" descr="engel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gel-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 xml:space="preserve">Freiwillige Kennzeichnung </w:t>
            </w:r>
            <w:r w:rsidRPr="00680385">
              <w:rPr>
                <w:rFonts w:ascii="Arial" w:hAnsi="Arial"/>
                <w:b/>
              </w:rPr>
              <w:br/>
              <w:t>„Blauer Engel“: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Dieses Umweltzeichen wird unter der Federführung des Umweltbundesamtes UBA vergeben. Damit dürfen Produkte gekennzeichnet werden, die Vorzüge gegenüber Erzeugnissen der gleichen Art besitzen, z.B. lösemittelarme Farben, Zeichenblöcke aus 100 % Altpapier.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  <w:sz w:val="27"/>
              </w:rPr>
              <w:drawing>
                <wp:inline distT="0" distB="0" distL="0" distR="0">
                  <wp:extent cx="1790700" cy="1466850"/>
                  <wp:effectExtent l="0" t="0" r="0" b="0"/>
                  <wp:docPr id="12" name="Grafik 12" descr="Prüfinstit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üfinstit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VDE-Zeichen</w:t>
            </w:r>
          </w:p>
          <w:p w:rsidR="00680385" w:rsidRPr="00680385" w:rsidRDefault="00680385" w:rsidP="002A7B55">
            <w:pPr>
              <w:pStyle w:val="stanabs"/>
              <w:numPr>
                <w:ilvl w:val="0"/>
                <w:numId w:val="3"/>
              </w:numPr>
              <w:spacing w:before="0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für Geräte als technische Arbeitsmittel im Sinne des Gerätesicherheitsgesetzes (GSG),</w:t>
            </w:r>
          </w:p>
          <w:p w:rsidR="00680385" w:rsidRPr="00680385" w:rsidRDefault="00680385" w:rsidP="002A7B55">
            <w:pPr>
              <w:pStyle w:val="stanabs"/>
              <w:numPr>
                <w:ilvl w:val="0"/>
                <w:numId w:val="3"/>
              </w:numPr>
              <w:spacing w:before="0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für Einzelteile oder Installationsmaterial</w:t>
            </w:r>
          </w:p>
          <w:p w:rsidR="00680385" w:rsidRPr="00680385" w:rsidRDefault="00680385">
            <w:pPr>
              <w:pStyle w:val="stanabs"/>
              <w:spacing w:after="120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Das VDE-Zeichen kennzeichnet die Konformität mit den VDE-Bestimmungen bzw. europäischen oder international harmonisierten Normen und bestätigt die Einhaltung der Schutzanforderungen der zutreffenden Richtlinien. Das VDE-Zeichen steht für die Sicherheit des Produktes hinsichtlich elektrischer, mechanischer, thermischer, toxischer, radiologischer und sonstiger Gefährdung.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anchor distT="0" distB="0" distL="190500" distR="190500" simplePos="0" relativeHeight="251658240" behindDoc="0" locked="0" layoutInCell="1" allowOverlap="0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215265</wp:posOffset>
                  </wp:positionV>
                  <wp:extent cx="1762125" cy="1428750"/>
                  <wp:effectExtent l="0" t="0" r="9525" b="0"/>
                  <wp:wrapSquare wrapText="bothSides"/>
                  <wp:docPr id="16" name="Grafik 16" descr="s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 xml:space="preserve">Sicherheitszeichen: </w:t>
            </w:r>
            <w:r w:rsidRPr="00680385">
              <w:rPr>
                <w:rFonts w:ascii="Arial" w:hAnsi="Arial"/>
                <w:b/>
              </w:rPr>
              <w:br/>
              <w:t>GS für "Geprüfte Sicherheit"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Für technische Geräte wie z.B. Haushaltsgeräte, Werkzeuge, Spielzeuge, Sportgeräte, die den Sicherheitsanforderungen des Gerätesicherheitsgesetzes entsprechen, erteilen staatlich anerkannte Prüfstellen nach einer Typprüfung das Sicherheitszeichen "GS" für "geprüfte Sicherheit". </w:t>
            </w:r>
          </w:p>
          <w:p w:rsidR="00680385" w:rsidRPr="00680385" w:rsidRDefault="00680385">
            <w:pPr>
              <w:pStyle w:val="stanabs"/>
              <w:spacing w:after="120"/>
              <w:rPr>
                <w:rFonts w:ascii="Arial" w:hAnsi="Arial"/>
              </w:rPr>
            </w:pPr>
            <w:r w:rsidRPr="00680385">
              <w:rPr>
                <w:rFonts w:ascii="Arial" w:hAnsi="Arial"/>
                <w:sz w:val="18"/>
              </w:rPr>
              <w:t>Mit dem Sicherheitszeichen kombiniert ist die Kennzeichnung der Prüfstelle (z.B. TÜV, VDE-Prüfstelle, berufsgenossenschaftliche Prüfstelle) (vgl. 6.). Derart geprüfte Geräte bieten i.d.R. ausreichende Gewähr, dass bei bestimmungsgemäßer Verwendung keine Gefahren hervorgerufen werden.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</w:tbl>
    <w:p w:rsidR="00680385" w:rsidRDefault="00680385"/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86"/>
        <w:gridCol w:w="254"/>
        <w:gridCol w:w="284"/>
        <w:gridCol w:w="286"/>
        <w:gridCol w:w="1315"/>
        <w:gridCol w:w="4519"/>
      </w:tblGrid>
      <w:tr w:rsidR="00680385" w:rsidRPr="00680385" w:rsidTr="00680385">
        <w:trPr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pStyle w:val="Kopfzeile"/>
              <w:pBdr>
                <w:bottom w:val="none" w:sz="0" w:space="0" w:color="auto"/>
              </w:pBdr>
              <w:tabs>
                <w:tab w:val="left" w:pos="708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 w:rsidP="002A7B55">
            <w:pPr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Symbol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 w:rsidP="002A7B55">
            <w:pPr>
              <w:pStyle w:val="stanabs"/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Hinweise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390650" cy="561975"/>
                  <wp:effectExtent l="0" t="0" r="0" b="9525"/>
                  <wp:docPr id="11" name="Grafik 11" descr="http://www.vde.de/vde/img/online/pruef/zeichen/vde_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de.de/vde/img/online/pruef/zeichen/vde_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Sicherheitszeichen</w:t>
            </w:r>
            <w:r w:rsidRPr="00680385">
              <w:rPr>
                <w:rFonts w:ascii="Arial" w:hAnsi="Arial"/>
                <w:b/>
              </w:rPr>
              <w:br/>
              <w:t>für Geräte als technische Arbeitsmittel im Sinne des Gerätesicherheitsgesetzes (GSG)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Das GS-Zeichen ist ein in der EU anerkanntes nationales Prüfzeichen. Handelt es sich um verwendungsfertige Arbeitsmittel im Sinne des Gerätesicherheitsgesetzes, können auch das VDE-GS-Zeichen verwenden werden.</w:t>
            </w:r>
          </w:p>
          <w:p w:rsidR="00680385" w:rsidRPr="00680385" w:rsidRDefault="00680385">
            <w:pPr>
              <w:rPr>
                <w:rFonts w:ascii="Arial" w:hAnsi="Arial"/>
                <w:b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before="24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143000" cy="685800"/>
                  <wp:effectExtent l="0" t="0" r="0" b="0"/>
                  <wp:docPr id="10" name="Grafik 10" descr="enc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c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285875" cy="428625"/>
                  <wp:effectExtent l="0" t="0" r="9525" b="9525"/>
                  <wp:docPr id="9" name="Grafik 9" descr="http://www.vde.de/vde/img/online/pruef/zeichen/en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de.de/vde/img/online/pruef/zeichen/en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Sicherheitszeichen für Erzeugnisse</w:t>
            </w:r>
            <w:r w:rsidRPr="00680385">
              <w:rPr>
                <w:rFonts w:ascii="Arial" w:hAnsi="Arial"/>
                <w:b/>
              </w:rPr>
              <w:br/>
              <w:t>nach harmonisierten Zertifizierungsverfahren</w:t>
            </w:r>
          </w:p>
          <w:p w:rsidR="00680385" w:rsidRPr="00680385" w:rsidRDefault="00680385">
            <w:pPr>
              <w:pStyle w:val="stanabs"/>
              <w:spacing w:after="120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Grundlage für die Prüfung sind die im Abkommen aufgeführten europäischen Normen. Produkte (dies sind zur Zeit Leuchten, </w:t>
            </w:r>
            <w:proofErr w:type="spellStart"/>
            <w:r w:rsidRPr="00680385">
              <w:rPr>
                <w:rFonts w:ascii="Arial" w:hAnsi="Arial"/>
                <w:sz w:val="18"/>
              </w:rPr>
              <w:t>Leuchtenkomponenten</w:t>
            </w:r>
            <w:proofErr w:type="spellEnd"/>
            <w:r w:rsidRPr="00680385">
              <w:rPr>
                <w:rFonts w:ascii="Arial" w:hAnsi="Arial"/>
                <w:sz w:val="18"/>
              </w:rPr>
              <w:t xml:space="preserve">, Energiesparlampen, Geräte der Informationstechnik, Transformatoren, Geräteschalter, elektrische Regel- und Steuergeräte, einige Arten von Kondensatoren und </w:t>
            </w:r>
            <w:proofErr w:type="spellStart"/>
            <w:r w:rsidRPr="00680385">
              <w:rPr>
                <w:rFonts w:ascii="Arial" w:hAnsi="Arial"/>
                <w:sz w:val="18"/>
              </w:rPr>
              <w:t>Funkentstörbauteile</w:t>
            </w:r>
            <w:proofErr w:type="spellEnd"/>
            <w:r w:rsidRPr="00680385">
              <w:rPr>
                <w:rFonts w:ascii="Arial" w:hAnsi="Arial"/>
                <w:sz w:val="18"/>
              </w:rPr>
              <w:t>), die auf dieser Basis geprüft wurden, dürfen mit dem ENEC-Zeichen des VDE gekennzeichnet werden. Eine Genehmigung einer weiteren, am europäischen Zertifizierungsverfahren beteiligten Stelle, ist nicht erforderlich.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971550" cy="1114425"/>
                  <wp:effectExtent l="0" t="0" r="0" b="9525"/>
                  <wp:docPr id="8" name="Grafik 8" descr="http://www.vde.de/vde/img/online/pruef/zeichen/vde_em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de.de/vde/img/online/pruef/zeichen/vde_em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Sicherheitszeichen für Geräte, entsprechend</w:t>
            </w:r>
            <w:r w:rsidRPr="00680385">
              <w:rPr>
                <w:rFonts w:ascii="Arial" w:hAnsi="Arial"/>
                <w:b/>
              </w:rPr>
              <w:br/>
              <w:t xml:space="preserve">den Normen für elektromagnetische Verträglichkeit 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Das VDE-EMV-Zeichen drückt die Konformität eines Erzeugnisses mit den anzuwendenden Normen im Hinblick auf die elektromagnetische Verträglichkeit von Produkten aus. Dieses Zeichen signalisiert die verlässliche Funktion des Produktes im elektromagnetischen Umfeld.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352550" cy="1800225"/>
                  <wp:effectExtent l="0" t="0" r="0" b="9525"/>
                  <wp:docPr id="7" name="Grafik 7" descr="G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Sicherheitszeichen für Entstauber</w:t>
            </w:r>
            <w:r w:rsidRPr="00680385">
              <w:rPr>
                <w:rFonts w:ascii="Arial" w:hAnsi="Arial"/>
                <w:b/>
              </w:rPr>
              <w:br/>
              <w:t>BG-PRÜFZERT: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Die Prüf- und Zertifizierungsstellen im Berufsgenossenschaftlichen Prüf- und Zertifizierungssystem BG-PRÜFZERT unterstützen Hersteller, Handel und Betreiber bei der Konstruktion, Prüfung und Beschaffung technischer Arbeitsmittel. 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Prüfzeichen: </w:t>
            </w:r>
            <w:r w:rsidRPr="00680385">
              <w:rPr>
                <w:rFonts w:ascii="Arial" w:hAnsi="Arial"/>
                <w:b/>
                <w:sz w:val="18"/>
              </w:rPr>
              <w:t>Entstauber</w:t>
            </w:r>
            <w:r w:rsidRPr="00680385">
              <w:rPr>
                <w:rFonts w:ascii="Arial" w:hAnsi="Arial"/>
                <w:sz w:val="18"/>
              </w:rPr>
              <w:t>: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Text: 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„Geeignet zur Abscheidung von Holzstaub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Reststaubgehaltstufe 2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0,2 mg/m³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sicher eingehalten“</w:t>
            </w:r>
          </w:p>
          <w:p w:rsidR="00680385" w:rsidRPr="00680385" w:rsidRDefault="00680385">
            <w:pPr>
              <w:pStyle w:val="stanabs"/>
              <w:spacing w:after="120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sz w:val="18"/>
              </w:rPr>
              <w:t>Bestehende Prüfbescheinigungen für GS-Zeichen mit Zusatz „H 2“ behalten ihre Gültigkeit fünf Jahre ab Ausstellungsdatum.</w:t>
            </w: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123950" cy="1857375"/>
                  <wp:effectExtent l="0" t="0" r="0" b="9525"/>
                  <wp:docPr id="6" name="Grafik 6" descr="G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dabs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123950" cy="1809750"/>
                  <wp:effectExtent l="0" t="0" r="0" b="0"/>
                  <wp:docPr id="5" name="Grafik 5" descr="zh-1$739\aab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h-1$739\aab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ziff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b/>
              </w:rPr>
              <w:t>Sicherheitszeichen für Entstauber</w:t>
            </w:r>
          </w:p>
          <w:p w:rsidR="00680385" w:rsidRPr="00680385" w:rsidRDefault="00680385">
            <w:pPr>
              <w:pStyle w:val="stanabs"/>
              <w:spacing w:before="0"/>
              <w:jc w:val="left"/>
              <w:rPr>
                <w:rFonts w:ascii="Arial" w:hAnsi="Arial"/>
              </w:rPr>
            </w:pPr>
            <w:r w:rsidRPr="00680385">
              <w:rPr>
                <w:rFonts w:ascii="Arial" w:hAnsi="Arial"/>
                <w:b/>
              </w:rPr>
              <w:t>BG-PRÜFZERT:</w:t>
            </w:r>
          </w:p>
          <w:p w:rsidR="00680385" w:rsidRPr="00680385" w:rsidRDefault="00680385">
            <w:pPr>
              <w:spacing w:before="120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Getrennte Zeichen werden seit 1997 vergeben: </w:t>
            </w:r>
          </w:p>
          <w:p w:rsidR="00680385" w:rsidRPr="00680385" w:rsidRDefault="00680385" w:rsidP="002A7B55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GS-Zeichen „Geprüfte Sicherheit“ für sicherheitstechnische Prüfung</w:t>
            </w:r>
          </w:p>
          <w:p w:rsidR="00680385" w:rsidRPr="00680385" w:rsidRDefault="00680385" w:rsidP="002A7B55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„BG </w:t>
            </w:r>
            <w:proofErr w:type="spellStart"/>
            <w:r w:rsidRPr="00680385">
              <w:rPr>
                <w:rFonts w:ascii="Arial" w:hAnsi="Arial"/>
                <w:sz w:val="18"/>
              </w:rPr>
              <w:t>Prüfzert</w:t>
            </w:r>
            <w:proofErr w:type="spellEnd"/>
            <w:r w:rsidRPr="00680385">
              <w:rPr>
                <w:rFonts w:ascii="Arial" w:hAnsi="Arial"/>
                <w:sz w:val="18"/>
              </w:rPr>
              <w:t>“ mit Zusatz H 2 für Staubprüfung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Text</w:t>
            </w:r>
            <w:r w:rsidRPr="00680385">
              <w:rPr>
                <w:rFonts w:ascii="Arial" w:hAnsi="Arial"/>
                <w:b/>
                <w:sz w:val="18"/>
              </w:rPr>
              <w:t xml:space="preserve">: </w:t>
            </w:r>
            <w:r w:rsidRPr="00680385">
              <w:rPr>
                <w:rFonts w:ascii="Arial" w:hAnsi="Arial"/>
                <w:b/>
                <w:sz w:val="18"/>
              </w:rPr>
              <w:tab/>
              <w:t>H 2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„Geeignet zur Abscheidung von Holzstaub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Reststaubgehaltstufe 2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0,2 mg/m³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sicher eingehalten“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b/>
                <w:sz w:val="18"/>
              </w:rPr>
              <w:t>H 3:</w:t>
            </w:r>
          </w:p>
          <w:p w:rsidR="00680385" w:rsidRPr="00680385" w:rsidRDefault="00680385">
            <w:pPr>
              <w:pStyle w:val="stanabs"/>
              <w:spacing w:before="0" w:after="120"/>
              <w:ind w:left="357"/>
              <w:jc w:val="left"/>
              <w:rPr>
                <w:rFonts w:ascii="Arial" w:hAnsi="Arial"/>
                <w:b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Reststaubgehaltstufe 2 </w:t>
            </w:r>
            <w:r w:rsidRPr="00680385">
              <w:rPr>
                <w:rFonts w:ascii="Arial" w:hAnsi="Arial"/>
                <w:sz w:val="18"/>
              </w:rPr>
              <w:tab/>
              <w:t>0,1 mg/m³</w:t>
            </w:r>
          </w:p>
        </w:tc>
      </w:tr>
    </w:tbl>
    <w:p w:rsidR="00680385" w:rsidRDefault="00680385" w:rsidP="00680385">
      <w:pPr>
        <w:rPr>
          <w:rFonts w:ascii="Arial" w:hAnsi="Arial"/>
        </w:rPr>
      </w:pPr>
    </w:p>
    <w:p w:rsidR="00680385" w:rsidRPr="00680385" w:rsidRDefault="00680385" w:rsidP="00680385">
      <w:pPr>
        <w:rPr>
          <w:rFonts w:ascii="Arial" w:hAnsi="Arial"/>
        </w:rPr>
      </w:pPr>
    </w:p>
    <w:p w:rsidR="00680385" w:rsidRPr="00680385" w:rsidRDefault="00680385" w:rsidP="00680385">
      <w:pPr>
        <w:rPr>
          <w:rFonts w:ascii="Arial" w:hAnsi="Aria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624"/>
        <w:gridCol w:w="285"/>
        <w:gridCol w:w="2419"/>
        <w:gridCol w:w="3416"/>
      </w:tblGrid>
      <w:tr w:rsidR="00680385" w:rsidRPr="00680385" w:rsidTr="00680385">
        <w:trPr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pStyle w:val="Kopfzeile"/>
              <w:pBdr>
                <w:bottom w:val="none" w:sz="0" w:space="0" w:color="auto"/>
              </w:pBdr>
              <w:tabs>
                <w:tab w:val="left" w:pos="708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Symbol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stanabs"/>
              <w:spacing w:before="60" w:after="60"/>
              <w:jc w:val="center"/>
              <w:rPr>
                <w:rFonts w:ascii="Arial" w:hAnsi="Arial"/>
                <w:smallCaps/>
                <w:sz w:val="22"/>
              </w:rPr>
            </w:pPr>
            <w:r w:rsidRPr="00680385">
              <w:rPr>
                <w:rFonts w:ascii="Arial" w:hAnsi="Arial"/>
                <w:smallCaps/>
                <w:sz w:val="22"/>
              </w:rPr>
              <w:t>Hinweise</w:t>
            </w:r>
          </w:p>
        </w:tc>
      </w:tr>
      <w:tr w:rsidR="00680385" w:rsidRPr="00680385" w:rsidTr="00680385"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rPr>
          <w:trHeight w:val="29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609725" cy="1666875"/>
                  <wp:effectExtent l="0" t="0" r="9525" b="9525"/>
                  <wp:docPr id="4" name="Grafik 4" descr="zh-1$739\aab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h-1$739\aab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dabs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609725" cy="1666875"/>
                  <wp:effectExtent l="0" t="0" r="9525" b="9525"/>
                  <wp:docPr id="3" name="Grafik 3" descr="zh-1$739\aabb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h-1$739\aabb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85" w:rsidRPr="00680385" w:rsidRDefault="00680385">
            <w:pPr>
              <w:pStyle w:val="ziff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b/>
                <w:sz w:val="18"/>
              </w:rPr>
              <w:t>GS-</w:t>
            </w:r>
            <w:r w:rsidRPr="00680385">
              <w:rPr>
                <w:rFonts w:ascii="Arial" w:hAnsi="Arial"/>
                <w:sz w:val="18"/>
              </w:rPr>
              <w:t xml:space="preserve">Zeichen </w:t>
            </w:r>
          </w:p>
          <w:p w:rsidR="00680385" w:rsidRPr="00680385" w:rsidRDefault="00680385">
            <w:pPr>
              <w:pStyle w:val="ziff"/>
              <w:jc w:val="left"/>
              <w:rPr>
                <w:rFonts w:ascii="Arial" w:hAnsi="Arial"/>
                <w:b/>
              </w:rPr>
            </w:pPr>
            <w:r w:rsidRPr="00680385">
              <w:rPr>
                <w:rFonts w:ascii="Arial" w:hAnsi="Arial"/>
                <w:sz w:val="18"/>
              </w:rPr>
              <w:t>„Geprüfte Sicherheit“ für sicherheitstechnische Prüfung</w:t>
            </w:r>
          </w:p>
        </w:tc>
      </w:tr>
      <w:tr w:rsidR="00680385" w:rsidRPr="00680385" w:rsidTr="00680385"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sz w:val="8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85" w:rsidRPr="00680385" w:rsidRDefault="00680385">
            <w:pPr>
              <w:rPr>
                <w:rFonts w:ascii="Arial" w:hAnsi="Arial"/>
                <w:b/>
                <w:sz w:val="8"/>
              </w:rPr>
            </w:pPr>
          </w:p>
        </w:tc>
      </w:tr>
      <w:tr w:rsidR="00680385" w:rsidRPr="00680385" w:rsidTr="006803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385" w:rsidRPr="00680385" w:rsidRDefault="00680385" w:rsidP="002A7B5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</w:p>
          <w:p w:rsidR="00680385" w:rsidRPr="00680385" w:rsidRDefault="0068038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0385" w:rsidRPr="00680385" w:rsidRDefault="00680385">
            <w:pPr>
              <w:pStyle w:val="stanabs"/>
              <w:spacing w:after="120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581150" cy="1885950"/>
                  <wp:effectExtent l="0" t="0" r="0" b="0"/>
                  <wp:docPr id="2" name="Grafik 2" descr="GS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S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680385" w:rsidRPr="00680385" w:rsidRDefault="00680385">
            <w:pPr>
              <w:pStyle w:val="stanabs"/>
              <w:jc w:val="center"/>
              <w:rPr>
                <w:rFonts w:ascii="Arial" w:hAnsi="Arial"/>
              </w:rPr>
            </w:pPr>
            <w:r w:rsidRPr="00680385">
              <w:rPr>
                <w:rFonts w:ascii="Arial" w:hAnsi="Arial"/>
                <w:noProof/>
              </w:rPr>
              <w:drawing>
                <wp:inline distT="0" distB="0" distL="0" distR="0">
                  <wp:extent cx="1533525" cy="1838325"/>
                  <wp:effectExtent l="0" t="0" r="9525" b="9525"/>
                  <wp:docPr id="1" name="Grafik 1" descr="GS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S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0385" w:rsidRPr="00680385" w:rsidRDefault="00680385">
            <w:pPr>
              <w:pStyle w:val="ziff"/>
              <w:rPr>
                <w:rFonts w:ascii="Arial" w:hAnsi="Arial"/>
              </w:rPr>
            </w:pPr>
            <w:r w:rsidRPr="00680385">
              <w:rPr>
                <w:rFonts w:ascii="Arial" w:hAnsi="Arial"/>
                <w:b/>
              </w:rPr>
              <w:t>Sicherheitszeichen für Entstauber</w:t>
            </w:r>
          </w:p>
          <w:p w:rsidR="00680385" w:rsidRPr="00680385" w:rsidRDefault="00680385">
            <w:pPr>
              <w:rPr>
                <w:rFonts w:ascii="Arial" w:hAnsi="Arial"/>
                <w:sz w:val="18"/>
              </w:rPr>
            </w:pPr>
          </w:p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Diese Zeichen bescheinigen eine zündquellenfreie Bauart</w:t>
            </w:r>
          </w:p>
          <w:p w:rsidR="00680385" w:rsidRPr="00680385" w:rsidRDefault="00680385">
            <w:pPr>
              <w:pStyle w:val="stanabs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 xml:space="preserve">Text: </w:t>
            </w:r>
          </w:p>
          <w:p w:rsidR="00680385" w:rsidRPr="00680385" w:rsidRDefault="00680385">
            <w:pPr>
              <w:pStyle w:val="stanabs"/>
              <w:spacing w:before="0"/>
              <w:ind w:left="355"/>
              <w:jc w:val="left"/>
              <w:rPr>
                <w:rFonts w:ascii="Arial" w:hAnsi="Arial"/>
                <w:sz w:val="18"/>
              </w:rPr>
            </w:pPr>
            <w:r w:rsidRPr="00680385">
              <w:rPr>
                <w:rFonts w:ascii="Arial" w:hAnsi="Arial"/>
                <w:sz w:val="18"/>
              </w:rPr>
              <w:t>„Keine Zündquellen einsaugen!</w:t>
            </w:r>
            <w:r w:rsidRPr="00680385">
              <w:rPr>
                <w:rFonts w:ascii="Arial" w:hAnsi="Arial"/>
                <w:sz w:val="18"/>
              </w:rPr>
              <w:br/>
              <w:t>Keine funkenerzeugenden Maschinen absaugen!</w:t>
            </w:r>
            <w:r w:rsidRPr="00680385">
              <w:rPr>
                <w:rFonts w:ascii="Arial" w:hAnsi="Arial"/>
                <w:sz w:val="18"/>
              </w:rPr>
              <w:br/>
              <w:t>B 1 Bauart 1:</w:t>
            </w:r>
            <w:r w:rsidRPr="00680385">
              <w:rPr>
                <w:rFonts w:ascii="Arial" w:hAnsi="Arial"/>
                <w:sz w:val="18"/>
              </w:rPr>
              <w:br/>
              <w:t>Geeignet zum Absaugen brennbarer Stäube in Zone II“</w:t>
            </w:r>
          </w:p>
          <w:p w:rsidR="00680385" w:rsidRPr="00680385" w:rsidRDefault="00680385">
            <w:pPr>
              <w:pStyle w:val="stanabs"/>
              <w:jc w:val="left"/>
              <w:rPr>
                <w:rFonts w:ascii="Arial" w:hAnsi="Arial"/>
                <w:b/>
                <w:sz w:val="18"/>
              </w:rPr>
            </w:pPr>
          </w:p>
        </w:tc>
      </w:tr>
    </w:tbl>
    <w:p w:rsidR="00680385" w:rsidRPr="00680385" w:rsidRDefault="00680385" w:rsidP="00680385">
      <w:pPr>
        <w:rPr>
          <w:rFonts w:ascii="Arial" w:hAnsi="Arial"/>
        </w:rPr>
      </w:pPr>
    </w:p>
    <w:p w:rsidR="00680385" w:rsidRPr="00680385" w:rsidRDefault="00680385" w:rsidP="00680385">
      <w:pPr>
        <w:rPr>
          <w:rFonts w:ascii="Arial" w:hAnsi="Arial"/>
        </w:rPr>
      </w:pPr>
    </w:p>
    <w:p w:rsidR="00304BA4" w:rsidRPr="00680385" w:rsidRDefault="00304BA4">
      <w:pPr>
        <w:rPr>
          <w:rFonts w:ascii="Arial" w:hAnsi="Arial"/>
        </w:rPr>
      </w:pPr>
    </w:p>
    <w:sectPr w:rsidR="00304BA4" w:rsidRPr="00680385" w:rsidSect="00680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85" w:rsidRDefault="00680385" w:rsidP="00680385">
      <w:r>
        <w:separator/>
      </w:r>
    </w:p>
  </w:endnote>
  <w:endnote w:type="continuationSeparator" w:id="0">
    <w:p w:rsidR="00680385" w:rsidRDefault="00680385" w:rsidP="0068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85" w:rsidRDefault="00680385" w:rsidP="00680385">
      <w:r>
        <w:separator/>
      </w:r>
    </w:p>
  </w:footnote>
  <w:footnote w:type="continuationSeparator" w:id="0">
    <w:p w:rsidR="00680385" w:rsidRDefault="00680385" w:rsidP="00680385">
      <w:r>
        <w:continuationSeparator/>
      </w:r>
    </w:p>
  </w:footnote>
  <w:footnote w:id="1">
    <w:p w:rsidR="00680385" w:rsidRPr="00680385" w:rsidRDefault="00680385" w:rsidP="00680385">
      <w:pPr>
        <w:pStyle w:val="Funotentext"/>
        <w:rPr>
          <w:rFonts w:ascii="Arial" w:hAnsi="Arial" w:cs="Arial"/>
        </w:rPr>
      </w:pPr>
      <w:bookmarkStart w:id="1" w:name="_GoBack"/>
      <w:r w:rsidRPr="00680385">
        <w:rPr>
          <w:rFonts w:ascii="Arial" w:hAnsi="Arial" w:cs="Arial"/>
        </w:rPr>
        <w:footnoteRef/>
      </w:r>
      <w:r w:rsidRPr="00680385">
        <w:rPr>
          <w:rFonts w:ascii="Arial" w:hAnsi="Arial" w:cs="Arial"/>
        </w:rPr>
        <w:t xml:space="preserve"> </w:t>
      </w:r>
      <w:r w:rsidRPr="00680385">
        <w:rPr>
          <w:rFonts w:ascii="Arial" w:hAnsi="Arial" w:cs="Arial"/>
        </w:rPr>
        <w:tab/>
        <w:t>Aushang GUV 39.2 „Sicherheit im Umgang mit Gefahrstoffen“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75D"/>
    <w:multiLevelType w:val="hybridMultilevel"/>
    <w:tmpl w:val="0C08FAF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7D0D"/>
    <w:multiLevelType w:val="multilevel"/>
    <w:tmpl w:val="47C0E646"/>
    <w:lvl w:ilvl="0">
      <w:start w:val="1"/>
      <w:numFmt w:val="decimal"/>
      <w:pStyle w:val="berschrift1"/>
      <w:lvlText w:val="III - 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III - 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0"/>
      <w:pStyle w:val="berschrift3"/>
      <w:lvlText w:val="III - 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ADC283A"/>
    <w:multiLevelType w:val="hybridMultilevel"/>
    <w:tmpl w:val="404642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91715"/>
    <w:multiLevelType w:val="hybridMultilevel"/>
    <w:tmpl w:val="6CF803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85"/>
    <w:rsid w:val="00304BA4"/>
    <w:rsid w:val="006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7A60B4-68FE-45CB-ADFD-54CBEED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385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80385"/>
    <w:pPr>
      <w:keepNext/>
      <w:numPr>
        <w:numId w:val="1"/>
      </w:numPr>
      <w:spacing w:before="240" w:after="120"/>
      <w:outlineLvl w:val="0"/>
    </w:pPr>
    <w:rPr>
      <w:rFonts w:ascii="Times New Roman" w:eastAsia="Times New Roman" w:hAnsi="Times New Roman"/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80385"/>
    <w:pPr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outlineLvl w:val="1"/>
    </w:pPr>
    <w:rPr>
      <w:rFonts w:ascii="Times New Roman" w:eastAsia="Times New Roman" w:hAnsi="Times New Roman"/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80385"/>
    <w:pPr>
      <w:keepNext/>
      <w:numPr>
        <w:ilvl w:val="2"/>
        <w:numId w:val="1"/>
      </w:numPr>
      <w:spacing w:before="240" w:after="120"/>
      <w:outlineLvl w:val="2"/>
    </w:pPr>
    <w:rPr>
      <w:rFonts w:ascii="Times New Roman" w:eastAsia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0385"/>
    <w:rPr>
      <w:rFonts w:ascii="Times New Roman" w:eastAsia="Times New Roman" w:hAnsi="Times New Roman" w:cs="Times New Roman"/>
      <w:b/>
      <w:kern w:val="32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680385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680385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680385"/>
    <w:pPr>
      <w:keepLines/>
      <w:overflowPunct w:val="0"/>
      <w:autoSpaceDE w:val="0"/>
      <w:autoSpaceDN w:val="0"/>
      <w:adjustRightInd w:val="0"/>
      <w:spacing w:before="60"/>
      <w:ind w:left="284" w:hanging="284"/>
    </w:pPr>
    <w:rPr>
      <w:rFonts w:ascii="Times New Roman" w:eastAsia="Times New Roman" w:hAnsi="Times New Roman"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80385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680385"/>
    <w:pPr>
      <w:pBdr>
        <w:bottom w:val="single" w:sz="4" w:space="1" w:color="auto"/>
      </w:pBdr>
      <w:tabs>
        <w:tab w:val="right" w:pos="9072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6803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abs">
    <w:name w:val="stanabs"/>
    <w:basedOn w:val="Standard"/>
    <w:rsid w:val="00680385"/>
    <w:pPr>
      <w:spacing w:before="120"/>
      <w:jc w:val="both"/>
    </w:pPr>
    <w:rPr>
      <w:rFonts w:ascii="Times New Roman" w:eastAsia="Times New Roman" w:hAnsi="Times New Roman"/>
      <w:sz w:val="20"/>
    </w:rPr>
  </w:style>
  <w:style w:type="paragraph" w:customStyle="1" w:styleId="Standabs">
    <w:name w:val="Standabs"/>
    <w:basedOn w:val="Standard"/>
    <w:rsid w:val="00680385"/>
    <w:pPr>
      <w:tabs>
        <w:tab w:val="right" w:pos="9072"/>
      </w:tabs>
      <w:spacing w:before="120"/>
      <w:jc w:val="both"/>
    </w:pPr>
    <w:rPr>
      <w:rFonts w:ascii="Times New Roman" w:eastAsia="Times New Roman" w:hAnsi="Times New Roman"/>
      <w:sz w:val="20"/>
    </w:rPr>
  </w:style>
  <w:style w:type="paragraph" w:customStyle="1" w:styleId="ziff">
    <w:name w:val="ziff"/>
    <w:basedOn w:val="Standard"/>
    <w:rsid w:val="00680385"/>
    <w:pPr>
      <w:spacing w:before="120"/>
      <w:jc w:val="both"/>
    </w:pPr>
    <w:rPr>
      <w:rFonts w:ascii="Times New Roman" w:eastAsia="Times New Roman" w:hAnsi="Times New Roman"/>
      <w:sz w:val="20"/>
    </w:rPr>
  </w:style>
  <w:style w:type="character" w:styleId="Funotenzeichen">
    <w:name w:val="footnote reference"/>
    <w:basedOn w:val="Absatz-Standardschriftart"/>
    <w:semiHidden/>
    <w:unhideWhenUsed/>
    <w:rsid w:val="00680385"/>
    <w:rPr>
      <w:position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6803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385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http://www.vde.de/vde/img/online/pruef/zeichen/enec.gif" TargetMode="External"/><Relationship Id="rId25" Type="http://schemas.openxmlformats.org/officeDocument/2006/relationships/image" Target="http://www.recht.com/CGI-BIN/om_isapi.dll/zh-1$739%5caabb-3.gif?clientID=761069&amp;infobase=zh1&amp;object=zh-1$739%5caabb-3&amp;softpage=Document4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vde.de/vde/img/online/pruef/prueflogo.gif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http://www.recht.com/CGI-BIN/om_isapi.dll/zh-1$739%5caabb-2.gif?clientID=761069&amp;infobase=zh1&amp;object=zh-1$739%5caabb-2&amp;softpage=Document42" TargetMode="External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http://www.vde.de/vde/img/online/pruef/zeichen/vde_emv.gi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vde.de/vde/img/online/pruef/zeichen/vde_gs.gif" TargetMode="External"/><Relationship Id="rId22" Type="http://schemas.openxmlformats.org/officeDocument/2006/relationships/image" Target="media/image12.png"/><Relationship Id="rId27" Type="http://schemas.openxmlformats.org/officeDocument/2006/relationships/image" Target="http://www.recht.com/CGI-BIN/om_isapi.dll/zh-1$739%5caabb-4.gif?clientID=761069&amp;infobase=zh1&amp;object=zh-1$739%5caabb-4&amp;softpage=Document4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98AC09B4.dotm</Template>
  <TotalTime>0</TotalTime>
  <Pages>3</Pages>
  <Words>682</Words>
  <Characters>4298</Characters>
  <Application>Microsoft Office Word</Application>
  <DocSecurity>0</DocSecurity>
  <Lines>35</Lines>
  <Paragraphs>9</Paragraphs>
  <ScaleCrop>false</ScaleCrop>
  <Company>IT Niedersachsen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2016-10-17T05:07:00Z</dcterms:created>
  <dcterms:modified xsi:type="dcterms:W3CDTF">2016-10-17T05:10:00Z</dcterms:modified>
</cp:coreProperties>
</file>