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92" w:rsidRPr="00B00392" w:rsidRDefault="00B00392" w:rsidP="00B00392">
      <w:pPr>
        <w:keepLines/>
        <w:tabs>
          <w:tab w:val="left" w:pos="708"/>
        </w:tabs>
        <w:overflowPunct w:val="0"/>
        <w:autoSpaceDE w:val="0"/>
        <w:autoSpaceDN w:val="0"/>
        <w:adjustRightInd w:val="0"/>
        <w:spacing w:before="120" w:after="120" w:line="240" w:lineRule="auto"/>
        <w:outlineLvl w:val="1"/>
        <w:rPr>
          <w:rFonts w:ascii="Arial" w:eastAsia="Times New Roman" w:hAnsi="Arial" w:cs="Arial"/>
          <w:b/>
          <w:sz w:val="24"/>
          <w:szCs w:val="20"/>
          <w:lang w:eastAsia="de-DE"/>
        </w:rPr>
      </w:pPr>
      <w:bookmarkStart w:id="0" w:name="_Toc516638921"/>
      <w:bookmarkStart w:id="1" w:name="_Toc17083687"/>
      <w:bookmarkStart w:id="2" w:name="_GoBack"/>
      <w:r w:rsidRPr="00B00392">
        <w:rPr>
          <w:rFonts w:ascii="Arial" w:eastAsia="Times New Roman" w:hAnsi="Arial" w:cs="Arial"/>
          <w:b/>
          <w:sz w:val="24"/>
          <w:szCs w:val="20"/>
          <w:lang w:eastAsia="de-DE"/>
        </w:rPr>
        <w:t>Übersicht über gebräuchliche Lösemittelgemische</w:t>
      </w:r>
      <w:bookmarkEnd w:id="0"/>
      <w:r w:rsidRPr="00B00392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/>
      </w:r>
      <w:r w:rsidRPr="00B00392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XE „Lösemittelgemische“ </w:instrText>
      </w:r>
      <w:r w:rsidRPr="00B00392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r w:rsidRPr="00B00392">
        <w:rPr>
          <w:rFonts w:ascii="Arial" w:eastAsia="Times New Roman" w:hAnsi="Arial" w:cs="Arial"/>
          <w:b/>
          <w:position w:val="6"/>
          <w:sz w:val="16"/>
          <w:szCs w:val="20"/>
          <w:lang w:eastAsia="de-DE"/>
        </w:rPr>
        <w:footnoteReference w:id="1"/>
      </w:r>
      <w:bookmarkEnd w:id="1"/>
    </w:p>
    <w:p w:rsidR="00B00392" w:rsidRPr="00B00392" w:rsidRDefault="00B00392" w:rsidP="00B00392">
      <w:pPr>
        <w:spacing w:after="0" w:line="240" w:lineRule="auto"/>
        <w:rPr>
          <w:rFonts w:ascii="Arial" w:eastAsia="Times" w:hAnsi="Arial" w:cs="Arial"/>
          <w:sz w:val="24"/>
          <w:szCs w:val="20"/>
          <w:lang w:eastAsia="de-DE"/>
        </w:rPr>
      </w:pPr>
    </w:p>
    <w:tbl>
      <w:tblPr>
        <w:tblW w:w="146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340"/>
        <w:gridCol w:w="442"/>
        <w:gridCol w:w="2268"/>
        <w:gridCol w:w="549"/>
        <w:gridCol w:w="549"/>
        <w:gridCol w:w="604"/>
        <w:gridCol w:w="1092"/>
        <w:gridCol w:w="2924"/>
        <w:gridCol w:w="1989"/>
      </w:tblGrid>
      <w:tr w:rsidR="00B00392" w:rsidRPr="00B00392" w:rsidTr="00B00392">
        <w:trPr>
          <w:cantSplit/>
          <w:tblHeader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Lösemittel</w:t>
            </w:r>
          </w:p>
        </w:tc>
        <w:tc>
          <w:tcPr>
            <w:tcW w:w="2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Zusammensetzung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KB</w:t>
            </w:r>
            <w:r w:rsidRPr="00B00392">
              <w:rPr>
                <w:rFonts w:ascii="Arial" w:eastAsia="Times" w:hAnsi="Arial" w:cs="Arial"/>
                <w:position w:val="6"/>
                <w:sz w:val="14"/>
                <w:szCs w:val="20"/>
                <w:lang w:eastAsia="de-DE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R-Sätze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Sdt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.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°C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VbF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ind w:left="-57"/>
              <w:jc w:val="center"/>
              <w:rPr>
                <w:rFonts w:ascii="Arial" w:eastAsia="Times" w:hAnsi="Arial" w:cs="Arial"/>
                <w:sz w:val="14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4"/>
                <w:szCs w:val="20"/>
                <w:lang w:eastAsia="de-DE"/>
              </w:rPr>
              <w:t>Flammt.°C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mischbar mit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Bemerkungen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92" w:rsidRPr="00B00392" w:rsidRDefault="00B00392" w:rsidP="00B00392">
            <w:pPr>
              <w:spacing w:before="60" w:after="6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Anwendungsbeispiele</w:t>
            </w: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Alkalische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Abbeizmittel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begin"/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 XE "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instrText>Abbeizmittel</w:instrText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" 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end"/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Ablauger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)</w:t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Natron- / Kalilauge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Natriumcarbonat, -Silicate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Trinatriumphosphat</w:t>
            </w:r>
            <w:proofErr w:type="spellEnd"/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verursacht schwere Verätzungen (R35)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Gefahr ernster Augenschäden (R41)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4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4"/>
                <w:szCs w:val="20"/>
                <w:lang w:eastAsia="de-DE"/>
              </w:rPr>
              <w:t>Paste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Wasser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Schutzbrille, Schutzhandschule aus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reizende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Ablauger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, z.B. auf Calciumhydroxid-Basis verwenden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reizt Haut und Schleimhäute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auf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verseifbare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Beschichtungsstoffe, wie Ölfarben,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Alkydharz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-Lacken</w:t>
            </w: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Lösemittelhaltige Abbeizmittel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(Abbeizfluide)</w:t>
            </w:r>
          </w:p>
          <w:p w:rsidR="00B00392" w:rsidRPr="00B00392" w:rsidRDefault="00B00392" w:rsidP="00B00392">
            <w:pPr>
              <w:spacing w:before="120"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CKW- und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methanolfrei</w:t>
            </w:r>
            <w:proofErr w:type="spellEnd"/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Glykolether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(z.B.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Dipropylenglykolmethylether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Ester (z.B. </w:t>
            </w:r>
            <w:r w:rsidRPr="00B00392">
              <w:rPr>
                <w:rFonts w:ascii="Arial" w:eastAsia="Times" w:hAnsi="Arial" w:cs="Arial"/>
                <w:i/>
                <w:sz w:val="16"/>
                <w:szCs w:val="20"/>
                <w:lang w:eastAsia="de-DE"/>
              </w:rPr>
              <w:t>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-Butylacetat)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Alkohole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Testbenzin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Xi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entzündlich (R 10)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reizt die Augen, Atmungsorgane und die Haut 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(R 36/37/38)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&gt; 100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&gt; 21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organischen Lösemitteln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Schutzhandschule aus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gut lüften</w:t>
            </w:r>
          </w:p>
          <w:p w:rsidR="00B00392" w:rsidRPr="00B00392" w:rsidRDefault="00B00392" w:rsidP="00B00392">
            <w:pPr>
              <w:spacing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enthält hautresorptive Stoffe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keine Produkte mit Dichlormethan oder Methanol verwenden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Universelle Abtragung von Altbeschichtungen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hervorragende Lösungscharakteristik und gute Penetrationsfähigkeit</w:t>
            </w: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Petroleumbenzin,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Petrolether, hochsiedend</w:t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Gemisch aus aliphatischen Kohlenwasserstoffen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überwiegend Gemisch Pentan und Hexan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, F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leichtentzündlich (R 11) 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gesundheitsschädlich: kann beim Verschlucken Lungenschäden verursachen (R 65)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vertAlign w:val="superscript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40 – 80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&lt;- 30</w:t>
            </w:r>
          </w:p>
        </w:tc>
        <w:tc>
          <w:tcPr>
            <w:tcW w:w="10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organischen Lösemitteln</w:t>
            </w:r>
          </w:p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92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gut lüften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Schutzhandschule aus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keinen Petrolether mit Siedebereich 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30 – 50 °C einsetzen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farblose, wasserunlösliche, stark lichtbrechende Flüssigkeit; benzinartiger Geruch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5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narkotische Wirkung;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Leber- und Nierenschäden möglich</w:t>
            </w:r>
          </w:p>
        </w:tc>
        <w:tc>
          <w:tcPr>
            <w:tcW w:w="19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fleckentfernend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entfettend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Lösemittel für Gummiklebstoffe</w:t>
            </w: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Benzin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begin"/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 XE "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instrText>Benzin</w:instrText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" 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end"/>
            </w:r>
            <w:r w:rsidRPr="00B00392">
              <w:rPr>
                <w:rFonts w:ascii="Arial" w:eastAsia="Times" w:hAnsi="Arial" w:cs="Arial"/>
                <w:position w:val="6"/>
                <w:sz w:val="16"/>
                <w:szCs w:val="20"/>
                <w:lang w:eastAsia="de-DE"/>
              </w:rPr>
              <w:footnoteReference w:id="3"/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(Waschbenzin)</w:t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Gemisch verschiedener Kohlenwasserstoffe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Xn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 xml:space="preserve"> F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ca. 80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A I 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- 20</w:t>
            </w:r>
          </w:p>
        </w:tc>
        <w:tc>
          <w:tcPr>
            <w:tcW w:w="10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92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5"/>
                <w:szCs w:val="20"/>
                <w:lang w:eastAsia="de-DE"/>
              </w:rPr>
            </w:pPr>
          </w:p>
        </w:tc>
        <w:tc>
          <w:tcPr>
            <w:tcW w:w="19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Testbenzin</w:t>
            </w:r>
            <w:proofErr w:type="spellEnd"/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Gemisch höhersiedender aliphatischer und aromatischer Kohlenwasserstoffe</w:t>
            </w:r>
          </w:p>
          <w:p w:rsidR="00B00392" w:rsidRPr="00B00392" w:rsidRDefault="00B00392" w:rsidP="00B00392">
            <w:pPr>
              <w:spacing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C9 – C12-Erdölfraktion 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entzündlich (R 10),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gesundheitsschädlich: kann beim Verschlucken Lungenschäden verursachen  (R 65)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ca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. 135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A II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21 – 55</w:t>
            </w:r>
          </w:p>
        </w:tc>
        <w:tc>
          <w:tcPr>
            <w:tcW w:w="10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92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5"/>
                <w:szCs w:val="20"/>
                <w:lang w:eastAsia="de-DE"/>
              </w:rPr>
            </w:pPr>
          </w:p>
        </w:tc>
        <w:tc>
          <w:tcPr>
            <w:tcW w:w="198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B00392" w:rsidRPr="00B00392" w:rsidTr="00B00392">
        <w:trPr>
          <w:cantSplit/>
          <w:trHeight w:val="1406"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Nitrolackverdünnung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fldChar w:fldCharType="begin"/>
            </w:r>
            <w:r w:rsidRPr="00B00392">
              <w:rPr>
                <w:rFonts w:ascii="Arial" w:eastAsia="Times" w:hAnsi="Arial" w:cs="Arial"/>
                <w:sz w:val="24"/>
                <w:szCs w:val="20"/>
                <w:lang w:val="it-IT" w:eastAsia="de-DE"/>
              </w:rPr>
              <w:instrText xml:space="preserve"> XE "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instrText>Nitrolackverdünnung</w:instrText>
            </w:r>
            <w:r w:rsidRPr="00B00392">
              <w:rPr>
                <w:rFonts w:ascii="Arial" w:eastAsia="Times" w:hAnsi="Arial" w:cs="Arial"/>
                <w:sz w:val="24"/>
                <w:szCs w:val="20"/>
                <w:lang w:val="it-IT" w:eastAsia="de-DE"/>
              </w:rPr>
              <w:instrText xml:space="preserve">" 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Gemisch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aus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aromatischen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Kohlenwasserstoffen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  <w:t>(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z.B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.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Toluol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/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Xylol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-Isomere)</w:t>
            </w: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Alkoholen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 (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z.B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.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Butanol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)</w:t>
            </w: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Estern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 (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z.B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. n-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Butylacetat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)</w:t>
            </w:r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Ketonen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 (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z.B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 xml:space="preserve">.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Aceton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)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F;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leichtentzündlich (R 11)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gesundheitsschädlich beim Einatmen und bei Berührung mit der Haut (R 20/21)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reizt die Haut (R 38)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&gt; 55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&lt; 21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organischen Lösemitteln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gut lüften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Schutzhandschule aus Butylkautschuk (als Spritzschutz)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enthält hautresorptive Stoffe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narkotische Wirkung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Ersatzstoff: z.B.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entaromatisierte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Universalverdünner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Verdünnung von Nitrocellulose und Kunstharzlacken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B00392" w:rsidRPr="00B00392" w:rsidTr="00B00392">
        <w:trPr>
          <w:cantSplit/>
          <w:trHeight w:val="1406"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lastRenderedPageBreak/>
              <w:t>Pinselreiniger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begin"/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 XE "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instrText>Pinselreiniger</w:instrText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" 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end"/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,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 wasserunlöslich</w:t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Gemisch aus aromatischen Kohlenwasserstoffen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(z.B.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Trimethylbenzole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,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Propylbenzol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) und nichtionischen Tensiden (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Fettalkoholethoxylat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)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entzündlich (R 10)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gesundheitsschädlich beim Einatmen (R 20)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reizt Augen, Atmungsorgane und die Haut (R 36/37/ 38)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gesundheitsschädlich: kann beim Verschlucken Lungenschäden verursachen (R 65)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164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47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organischen Lösemitteln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Schutzhandschule aus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Ersatzstoffprüfung, z.B. Pinselreiniger auf wässriger Basis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Pinselreinigung bei wasserunlöslichen Farben und Lacken</w:t>
            </w:r>
          </w:p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Terpentinöl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begin"/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 XE "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instrText>Terpentinöl</w:instrText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" 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Gemisch aus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Terpenen wie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sym w:font="Symbol" w:char="F061"/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-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Pinen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Limonen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3-Caren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Camphen</w:t>
            </w:r>
            <w:proofErr w:type="spellEnd"/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, 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entzündlich (R 10)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gesundheitsschädlich beim Einatmen, Verschlucken und bei Berührung mit der Haut (R 20/21/22)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reizt die Augen und die Haut (R 36/38)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Sensibilisierung durch Hautkontakt möglich (R 43)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giftig für Wasserorganismen. Kann in Gewässern längerfristig schädliche Wirkungen haben (R 51/53)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gesundheitsschädlich: Kann beim Verschlucken Lungenschäden verursachen (R 65)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150 – 177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33 - 35 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60" w:after="6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organischen Lösemitteln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gut lüften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Schutzhandschule aus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, da hautresorptiv, sensibilisierend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Ersatzstoffprüfung: Terpentinersatz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gelbliche, wasserunlösliche Flüssigkeit; typischer Geruch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Verdünnungsmittel für Farben, Lacke, Klebstoffe</w:t>
            </w:r>
          </w:p>
        </w:tc>
      </w:tr>
      <w:tr w:rsidR="00B00392" w:rsidRPr="00B00392" w:rsidTr="00B00392">
        <w:trPr>
          <w:cantSplit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Terpentinersatz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(Testbenzin)</w:t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Gemisch höhersiedender aliphatischer und aromatischer Kohlenwasserstoffe</w:t>
            </w:r>
          </w:p>
          <w:p w:rsidR="00B00392" w:rsidRPr="00B00392" w:rsidRDefault="00B00392" w:rsidP="00B00392">
            <w:pPr>
              <w:spacing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C9 – C12-Erdölfraktion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entzündlich (R 10)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gesundheitsschädlich: kann beim Verschlucken Lungenschäden verursachen (R 65)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130 – 220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21 – 55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organischen Lösemitteln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gut lüften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Schutzhandschule aus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möglichst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aromatenarme</w:t>
            </w:r>
            <w:proofErr w:type="spellEnd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Produkte einsetzen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Ersatzstoff für Terpentin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Verdünnungsmittel für Farben, Lacke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Reinigungsmittel von Spritzgeräte,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Oberflächenreinigungsmittel 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</w:p>
        </w:tc>
      </w:tr>
      <w:tr w:rsidR="00B00392" w:rsidRPr="00B00392" w:rsidTr="00B00392">
        <w:trPr>
          <w:cantSplit/>
          <w:trHeight w:val="1601"/>
        </w:trPr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Universalverdünner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begin"/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 XE "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instrText>Universalverdünner</w:instrText>
            </w:r>
            <w:r w:rsidRPr="00B00392">
              <w:rPr>
                <w:rFonts w:ascii="Arial" w:eastAsia="Times" w:hAnsi="Arial" w:cs="Arial"/>
                <w:sz w:val="24"/>
                <w:szCs w:val="20"/>
                <w:lang w:eastAsia="de-DE"/>
              </w:rPr>
              <w:instrText xml:space="preserve">" </w:instrTex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Je nach Produkt Gemisch aus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Aromaten 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(z.B. Xylol-Isomere)</w:t>
            </w:r>
          </w:p>
          <w:p w:rsidR="00B00392" w:rsidRPr="00B00392" w:rsidRDefault="00B00392" w:rsidP="00B00392">
            <w:pPr>
              <w:spacing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Estern (z.B. Butylacetat)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Alkoholen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Ketonen (z.B. Aceton)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F, </w:t>
            </w:r>
            <w:proofErr w:type="spellStart"/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Xn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leichtentzündlich (R 11)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gesundheitsschädlich beim Einatmen (R 20)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55 – 145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A I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&lt; 21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organischen Lösemitteln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gut lüften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Schutzhandschule aus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Nitrilgummi</w:t>
            </w:r>
            <w:proofErr w:type="spellEnd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möglichst </w:t>
            </w:r>
            <w:proofErr w:type="spellStart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aromatenarme</w:t>
            </w:r>
            <w:proofErr w:type="spellEnd"/>
            <w:r w:rsidRPr="00B00392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Produkte einsetzen</w:t>
            </w:r>
          </w:p>
          <w:p w:rsidR="00B00392" w:rsidRPr="00B00392" w:rsidRDefault="00B00392" w:rsidP="00B00392">
            <w:pPr>
              <w:spacing w:before="6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farblos bis gelblich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Geruch wie Terpentin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00392" w:rsidRPr="00B00392" w:rsidRDefault="00B00392" w:rsidP="00B00392">
            <w:pPr>
              <w:spacing w:before="120" w:after="6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t>Verdünnungsmittel für Farben, Lacke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Reinigungsmittel von Spritzgeräten</w:t>
            </w:r>
            <w:r w:rsidRPr="00B00392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Oberflächenreinigungsmittel </w:t>
            </w: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  <w:p w:rsidR="00B00392" w:rsidRPr="00B00392" w:rsidRDefault="00B00392" w:rsidP="00B00392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bookmarkEnd w:id="2"/>
    </w:tbl>
    <w:p w:rsidR="009B5E24" w:rsidRDefault="009B5E24"/>
    <w:sectPr w:rsidR="009B5E24" w:rsidSect="00B003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92" w:rsidRDefault="00B00392" w:rsidP="00B00392">
      <w:pPr>
        <w:spacing w:after="0" w:line="240" w:lineRule="auto"/>
      </w:pPr>
      <w:r>
        <w:separator/>
      </w:r>
    </w:p>
  </w:endnote>
  <w:endnote w:type="continuationSeparator" w:id="0">
    <w:p w:rsidR="00B00392" w:rsidRDefault="00B00392" w:rsidP="00B0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92" w:rsidRDefault="00B00392" w:rsidP="00B00392">
      <w:pPr>
        <w:spacing w:after="0" w:line="240" w:lineRule="auto"/>
      </w:pPr>
      <w:r>
        <w:separator/>
      </w:r>
    </w:p>
  </w:footnote>
  <w:footnote w:type="continuationSeparator" w:id="0">
    <w:p w:rsidR="00B00392" w:rsidRDefault="00B00392" w:rsidP="00B00392">
      <w:pPr>
        <w:spacing w:after="0" w:line="240" w:lineRule="auto"/>
      </w:pPr>
      <w:r>
        <w:continuationSeparator/>
      </w:r>
    </w:p>
  </w:footnote>
  <w:footnote w:id="1">
    <w:p w:rsidR="00B00392" w:rsidRDefault="00B00392" w:rsidP="00B00392">
      <w:pPr>
        <w:pStyle w:val="Funotentext"/>
        <w:rPr>
          <w:rFonts w:ascii="Times New Roman" w:hAnsi="Times New Roman"/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>Lösemittel als Reinstoffe wie z.B. Ethanol, Hexan, Methanol siehe Ziffer III – 13 3 Liste der gefährlichen Stoffe</w:t>
      </w:r>
    </w:p>
  </w:footnote>
  <w:footnote w:id="2">
    <w:p w:rsidR="00B00392" w:rsidRDefault="00B00392" w:rsidP="00B00392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 xml:space="preserve">KB </w:t>
      </w:r>
      <w:r>
        <w:rPr>
          <w:sz w:val="16"/>
        </w:rPr>
        <w:tab/>
        <w:t>= Kennbuchstabe des Gefahrensymbols siehe Ziffer III – 14.1 Gefahrensymbole, Gefahrenbezeichnungen</w:t>
      </w:r>
      <w:r>
        <w:rPr>
          <w:sz w:val="16"/>
        </w:rPr>
        <w:br/>
      </w:r>
      <w:proofErr w:type="spellStart"/>
      <w:r>
        <w:rPr>
          <w:sz w:val="16"/>
        </w:rPr>
        <w:t>VbF</w:t>
      </w:r>
      <w:proofErr w:type="spellEnd"/>
      <w:r>
        <w:rPr>
          <w:sz w:val="16"/>
        </w:rPr>
        <w:tab/>
        <w:t>= Gefahrklassen nach Verordnung brennbarer Flüssigkeiten A I, A II, B  siehe Ziffer III – 13.1: Legende zur Gefahrstoffliste</w:t>
      </w:r>
    </w:p>
  </w:footnote>
  <w:footnote w:id="3">
    <w:p w:rsidR="00B00392" w:rsidRDefault="00B00392" w:rsidP="00B00392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>Kraftstoffe für Ottomotoren (Tankstellenbenzin) können bis zu 2 % Benzol enthalten; nicht als Lösemittel verwenden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2"/>
    <w:rsid w:val="009B5E24"/>
    <w:rsid w:val="00B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A8708-B066-4E3C-BD1F-8E820FA0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003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92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00392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AFE27DC.dotm</Template>
  <TotalTime>0</TotalTime>
  <Pages>2</Pages>
  <Words>678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2016-10-17T05:15:00Z</dcterms:created>
  <dcterms:modified xsi:type="dcterms:W3CDTF">2016-10-17T05:17:00Z</dcterms:modified>
</cp:coreProperties>
</file>